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D5C8" w14:textId="77777777" w:rsidR="0046636E" w:rsidRDefault="007A1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e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46636E" w14:paraId="1087C27F" w14:textId="77777777">
        <w:tc>
          <w:tcPr>
            <w:tcW w:w="15843" w:type="dxa"/>
          </w:tcPr>
          <w:p w14:paraId="764357AF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46636E" w14:paraId="3DFA9CE6" w14:textId="77777777">
        <w:tc>
          <w:tcPr>
            <w:tcW w:w="15843" w:type="dxa"/>
          </w:tcPr>
          <w:p w14:paraId="433D4798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14:paraId="20F07AAC" w14:textId="77777777" w:rsidR="0046636E" w:rsidRDefault="007A1456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многоквартирном доме – 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сных предметов. После прекращения толчков скорее покиньте квартиру по лестнице, лифтом пользоваться нельзя. </w:t>
            </w:r>
          </w:p>
          <w:p w14:paraId="449ED3E7" w14:textId="77777777" w:rsidR="0046636E" w:rsidRDefault="007A1456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14:paraId="1C342055" w14:textId="77777777" w:rsidR="0046636E" w:rsidRDefault="007A1456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на улице – отойдите на безопасное расстояние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любых строений, линий электропередач, рекламных щитов, больших деревьев.</w:t>
            </w:r>
          </w:p>
          <w:p w14:paraId="16C9276F" w14:textId="77777777" w:rsidR="0046636E" w:rsidRDefault="007A1456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 – оставайтесь в нем. Выезжайте на открытое пространство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6636E" w14:paraId="6CB52F41" w14:textId="77777777">
        <w:tc>
          <w:tcPr>
            <w:tcW w:w="15843" w:type="dxa"/>
          </w:tcPr>
          <w:p w14:paraId="5261F9A6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14:paraId="13B323D5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инструкции:</w:t>
            </w:r>
          </w:p>
          <w:p w14:paraId="5A7263A4" w14:textId="77777777" w:rsidR="0046636E" w:rsidRDefault="007A1456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14:paraId="71656C6F" w14:textId="77777777" w:rsidR="0046636E" w:rsidRDefault="007A1456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14:paraId="5AFDC0B4" w14:textId="77777777" w:rsidR="0046636E" w:rsidRDefault="007A1456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3D6A643" w14:textId="68AE759D" w:rsidR="0046636E" w:rsidRDefault="007A1456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следуйте </w:t>
            </w:r>
            <w:r w:rsidR="00A7398C">
              <w:rPr>
                <w:rFonts w:ascii="Liberation Serif" w:eastAsia="Calibri" w:hAnsi="Liberation Serif" w:cs="Times New Roman"/>
                <w:sz w:val="28"/>
                <w:szCs w:val="28"/>
              </w:rPr>
              <w:t>в сборный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эвакуационный пункт Муниципальное бюджетное 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учреждение культуры «Районное социально-культурное объединение» г. Туринск, ул. </w:t>
            </w:r>
            <w:bookmarkStart w:id="0" w:name="_GoBack"/>
            <w:bookmarkEnd w:id="0"/>
            <w:r w:rsidR="00A7398C">
              <w:rPr>
                <w:rFonts w:ascii="Liberation Serif" w:eastAsia="Calibri" w:hAnsi="Liberation Serif" w:cs="Times New Roman"/>
                <w:sz w:val="28"/>
                <w:szCs w:val="28"/>
              </w:rPr>
              <w:t>Спорта,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16</w:t>
            </w:r>
          </w:p>
        </w:tc>
      </w:tr>
      <w:tr w:rsidR="0046636E" w14:paraId="04954D58" w14:textId="77777777">
        <w:tc>
          <w:tcPr>
            <w:tcW w:w="15843" w:type="dxa"/>
          </w:tcPr>
          <w:p w14:paraId="7DE2C56C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14:paraId="7FBCC754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инструкции:</w:t>
            </w:r>
          </w:p>
          <w:p w14:paraId="0837CE8A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14:paraId="5FFB42B2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защитите кожу –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14:paraId="453A9A34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возьмите аптечку, документы и предметы первой необходимости;</w:t>
            </w:r>
          </w:p>
          <w:p w14:paraId="743A9A2C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предупредите окружающих об аварии; </w:t>
            </w:r>
          </w:p>
          <w:p w14:paraId="07398FA9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 сооружение гражданской обороны;</w:t>
            </w:r>
          </w:p>
          <w:p w14:paraId="4648FBAB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при необходимости </w:t>
            </w:r>
            <w:r>
              <w:rPr>
                <w:rFonts w:ascii="Times New Roman" w:eastAsia="Calibri" w:hAnsi="Times New Roman" w:cs="Times New Roman"/>
                <w:sz w:val="28"/>
              </w:rPr>
              <w:t>помогите окружающим выйти на улицу;</w:t>
            </w:r>
          </w:p>
          <w:p w14:paraId="78EBAE94" w14:textId="77777777" w:rsidR="0046636E" w:rsidRDefault="007A1456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 укройтесь в другом помещении, закройте щели в окнах, дверях и вентиляционных системах подручными материалами.</w:t>
            </w:r>
          </w:p>
        </w:tc>
      </w:tr>
      <w:tr w:rsidR="0046636E" w14:paraId="3308795F" w14:textId="77777777">
        <w:tc>
          <w:tcPr>
            <w:tcW w:w="15843" w:type="dxa"/>
          </w:tcPr>
          <w:p w14:paraId="6EC4D9E5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радиационно опасном объекте </w:t>
            </w:r>
          </w:p>
          <w:p w14:paraId="10E8177C" w14:textId="77777777" w:rsidR="0046636E" w:rsidRDefault="007A1456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Дослушайте сообщение до конца, затем следуйте </w:t>
            </w:r>
            <w:r>
              <w:rPr>
                <w:rFonts w:ascii="Times New Roman" w:eastAsia="Calibri" w:hAnsi="Times New Roman" w:cs="Times New Roman"/>
                <w:sz w:val="28"/>
              </w:rPr>
              <w:t>инструкции:</w:t>
            </w:r>
          </w:p>
          <w:p w14:paraId="32D9BC1A" w14:textId="77777777" w:rsidR="0046636E" w:rsidRDefault="007A1456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наденьте противогаз, респиратор или ватно-марлевую повязку;</w:t>
            </w:r>
          </w:p>
          <w:p w14:paraId="6611F2EE" w14:textId="77777777" w:rsidR="0046636E" w:rsidRDefault="007A1456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предупредите окружающих об аварии; </w:t>
            </w:r>
          </w:p>
          <w:p w14:paraId="59A18B39" w14:textId="77777777" w:rsidR="0046636E" w:rsidRDefault="007A1456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 сооружение гражданской обороны;</w:t>
            </w:r>
          </w:p>
          <w:p w14:paraId="2566DFBA" w14:textId="77777777" w:rsidR="0046636E" w:rsidRDefault="007A1456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14:paraId="76A1AA20" w14:textId="77777777" w:rsidR="0046636E" w:rsidRDefault="007A1456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 укройтесь в 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 закройте щели в окнах, дверях и вентиляционных системах подручными материалами.</w:t>
            </w:r>
          </w:p>
        </w:tc>
      </w:tr>
    </w:tbl>
    <w:p w14:paraId="67251324" w14:textId="77777777" w:rsidR="0046636E" w:rsidRDefault="0046636E">
      <w:pPr>
        <w:rPr>
          <w:rFonts w:ascii="Times New Roman" w:hAnsi="Times New Roman" w:cs="Times New Roman"/>
          <w:sz w:val="28"/>
          <w:szCs w:val="28"/>
        </w:rPr>
      </w:pPr>
    </w:p>
    <w:sectPr w:rsidR="0046636E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82B5" w14:textId="77777777" w:rsidR="007A1456" w:rsidRDefault="007A1456">
      <w:pPr>
        <w:spacing w:after="0" w:line="240" w:lineRule="auto"/>
      </w:pPr>
      <w:r>
        <w:separator/>
      </w:r>
    </w:p>
  </w:endnote>
  <w:endnote w:type="continuationSeparator" w:id="0">
    <w:p w14:paraId="5FF99E77" w14:textId="77777777" w:rsidR="007A1456" w:rsidRDefault="007A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D4DB2" w14:textId="77777777" w:rsidR="007A1456" w:rsidRDefault="007A1456">
      <w:pPr>
        <w:spacing w:after="0" w:line="240" w:lineRule="auto"/>
      </w:pPr>
      <w:r>
        <w:separator/>
      </w:r>
    </w:p>
  </w:footnote>
  <w:footnote w:type="continuationSeparator" w:id="0">
    <w:p w14:paraId="489B1CEF" w14:textId="77777777" w:rsidR="007A1456" w:rsidRDefault="007A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757359"/>
      <w:docPartObj>
        <w:docPartGallery w:val="Page Numbers (Top of Page)"/>
        <w:docPartUnique/>
      </w:docPartObj>
    </w:sdtPr>
    <w:sdtEndPr/>
    <w:sdtContent>
      <w:p w14:paraId="2C39C136" w14:textId="77777777" w:rsidR="0046636E" w:rsidRDefault="007A1456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60BE9" w14:textId="77777777" w:rsidR="0046636E" w:rsidRDefault="004663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B7703"/>
    <w:multiLevelType w:val="multilevel"/>
    <w:tmpl w:val="F17A9B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919AD"/>
    <w:multiLevelType w:val="multilevel"/>
    <w:tmpl w:val="80A848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4172A"/>
    <w:multiLevelType w:val="multilevel"/>
    <w:tmpl w:val="D892F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3438B2"/>
    <w:multiLevelType w:val="multilevel"/>
    <w:tmpl w:val="A2007E5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A7016D"/>
    <w:multiLevelType w:val="multilevel"/>
    <w:tmpl w:val="E3920DC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6E"/>
    <w:rsid w:val="0046636E"/>
    <w:rsid w:val="007A1456"/>
    <w:rsid w:val="00A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94AC"/>
  <w15:docId w15:val="{3CB38B7E-5731-440D-8E43-E890A572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B2FEA"/>
  </w:style>
  <w:style w:type="character" w:customStyle="1" w:styleId="a5">
    <w:name w:val="Нижний колонтитул Знак"/>
    <w:basedOn w:val="a0"/>
    <w:link w:val="a6"/>
    <w:uiPriority w:val="99"/>
    <w:qFormat/>
    <w:rsid w:val="00FB2FEA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Рыжинская</dc:creator>
  <dc:description/>
  <cp:lastModifiedBy>Тополёк</cp:lastModifiedBy>
  <cp:revision>8</cp:revision>
  <cp:lastPrinted>2024-11-18T07:26:00Z</cp:lastPrinted>
  <dcterms:created xsi:type="dcterms:W3CDTF">2024-11-25T08:47:00Z</dcterms:created>
  <dcterms:modified xsi:type="dcterms:W3CDTF">2024-12-16T10:06:00Z</dcterms:modified>
  <dc:language>ru-RU</dc:language>
</cp:coreProperties>
</file>